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411480</wp:posOffset>
            </wp:positionV>
            <wp:extent cx="6446520" cy="8461058"/>
            <wp:effectExtent l="0" t="0" r="0" b="0"/>
            <wp:wrapNone/>
            <wp:docPr id="1" name="Fundo da c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r1_cover_round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8461058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365" behindDoc="0" locked="0" layoutInCell="1" allowOverlap="1">
            <wp:simplePos x="0" y="0"/>
            <wp:positionH relativeFrom="page">
              <wp:posOffset>1080879</wp:posOffset>
            </wp:positionH>
            <wp:positionV relativeFrom="page">
              <wp:posOffset>3038682</wp:posOffset>
            </wp:positionV>
            <wp:extent cx="4230600" cy="909579"/>
            <wp:effectExtent l="0" t="0" r="0" b="0"/>
            <wp:wrapNone/>
            <wp:docPr id="101" name="Capa - Título"/>
            <wp:cNvGraphicFramePr/>
            <a:graphic xmlns:a="http://schemas.openxmlformats.org/drawingml/2006/main" xmlns:pic="http://schemas.openxmlformats.org/drawingml/2006/picture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30600" cy="909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700" w:lineRule="exact"/>
                        </w:pPr>
                        <w:r>
                          <w:rPr>
                            <w:rFonts w:ascii="Montserrat" w:hAnsi="Montserrat" w:eastAsia="Montserrat" w:cs="Montserrat"/>
                            <w:b/>
                            <w:color w:val="FFFFFF"/>
                            <w:sz w:val="60"/>
                            <w:szCs w:val="60"/>
                          </w:rPr>
                          <w:t xml:space="preserve">PROPOSTA</w:t>
                        </w:r>
                      </w:p>
                      <w:p>
                        <w:pPr>
                          <w:spacing w:before="0" w:after="0" w:line="700" w:lineRule="exact"/>
                        </w:pPr>
                        <w:r>
                          <w:rPr>
                            <w:rFonts w:ascii="Montserrat" w:hAnsi="Montserrat" w:eastAsia="Montserrat" w:cs="Montserrat"/>
                            <w:b/>
                            <w:color w:val="FFFFFF"/>
                            <w:sz w:val="60"/>
                            <w:szCs w:val="60"/>
                          </w:rPr>
                          <w:t xml:space="preserve">COMERCIAL</w:t>
                        </w:r>
                      </w:p>
                    </w:txbxContent>
                  </wps:txbx>
                  <wps:bodyPr rot="0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9366" behindDoc="0" locked="0" layoutInCell="1" allowOverlap="1">
            <wp:simplePos x="0" y="0"/>
            <wp:positionH relativeFrom="page">
              <wp:posOffset>1080879</wp:posOffset>
            </wp:positionH>
            <wp:positionV relativeFrom="page">
              <wp:posOffset>4015951</wp:posOffset>
            </wp:positionV>
            <wp:extent cx="5372862" cy="380754"/>
            <wp:effectExtent l="0" t="0" r="0" b="0"/>
            <wp:wrapNone/>
            <wp:docPr id="102" name="Capa - Subtítulo"/>
            <wp:cNvGraphicFramePr/>
            <a:graphic xmlns:a="http://schemas.openxmlformats.org/drawingml/2006/main" xmlns:pic="http://schemas.openxmlformats.org/drawingml/2006/picture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862" cy="38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60" w:lineRule="exact"/>
                        </w:pPr>
                        <w:r>
                          <w:rPr>
                            <w:rFonts w:ascii="Montserrat" w:hAnsi="Montserrat" w:eastAsia="Montserrat" w:cs="Montserrat"/>
                            <w:b/>
                            <w:color w:val="FFFFFF"/>
                            <w:sz w:val="26"/>
                            <w:szCs w:val="26"/>
                          </w:rPr>
                          <w:t xml:space="preserve">TERCEIRIZAÇÃO DE SERVIÇOS E GESTÃO DE MÃO DE OBRA</w:t>
                        </w:r>
                      </w:p>
                    </w:txbxContent>
                  </wps:txbx>
                  <wps:bodyPr rot="0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9367" behindDoc="0" locked="0" layoutInCell="1" allowOverlap="1">
            <wp:simplePos x="0" y="0"/>
            <wp:positionH relativeFrom="page">
              <wp:posOffset>1080879</wp:posOffset>
            </wp:positionH>
            <wp:positionV relativeFrom="page">
              <wp:posOffset>4451703</wp:posOffset>
            </wp:positionV>
            <wp:extent cx="4653660" cy="846120"/>
            <wp:effectExtent l="0" t="0" r="0" b="0"/>
            <wp:wrapNone/>
            <wp:docPr id="103" name="Capa - Dados do cliente"/>
            <wp:cNvGraphicFramePr/>
            <a:graphic xmlns:a="http://schemas.openxmlformats.org/drawingml/2006/main" xmlns:pic="http://schemas.openxmlformats.org/drawingml/2006/picture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53660" cy="8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tabs>
                            <w:tab w:val="left" w:pos="1120"/>
                          </w:tabs>
                          <w:spacing w:before="0" w:after="0" w:line="360" w:lineRule="exact"/>
                        </w:pPr>
                        <w:r>
                          <w:rPr>
                            <w:rFonts w:ascii="Montserrat" w:hAnsi="Montserrat" w:eastAsia="Montserrat" w:cs="Montserrat"/>
                            <w:color w:val="F0D796"/>
                            <w:sz w:val="21"/>
                            <w:szCs w:val="21"/>
                          </w:rPr>
                          <w:t xml:space="preserve">CLIENTE:</w:t>
                        </w:r>
                        <w:r>
                          <w:tab/>
                        </w:r>
                        <w:r>
                          <w:rPr>
                            <w:rFonts w:ascii="Montserrat" w:hAnsi="Montserrat" w:eastAsia="Montserrat" w:cs="Montserrat"/>
                            <w:color w:val="F2F2F8"/>
                            <w:sz w:val="21"/>
                            <w:szCs w:val="21"/>
                          </w:rPr>
                          <w:t xml:space="preserve">[Nome da empresa / condomínio]</w:t>
                        </w:r>
                      </w:p>
                      <w:p>
                        <w:pPr>
                          <w:tabs>
                            <w:tab w:val="left" w:pos="1120"/>
                          </w:tabs>
                          <w:spacing w:before="0" w:after="0" w:line="360" w:lineRule="exact"/>
                        </w:pPr>
                        <w:r>
                          <w:rPr>
                            <w:rFonts w:ascii="Montserrat" w:hAnsi="Montserrat" w:eastAsia="Montserrat" w:cs="Montserrat"/>
                            <w:color w:val="F0D796"/>
                            <w:sz w:val="21"/>
                            <w:szCs w:val="21"/>
                          </w:rPr>
                          <w:t xml:space="preserve">SERVIÇO:</w:t>
                        </w:r>
                        <w:r>
                          <w:tab/>
                        </w:r>
                        <w:r>
                          <w:rPr>
                            <w:rFonts w:ascii="Montserrat" w:hAnsi="Montserrat" w:eastAsia="Montserrat" w:cs="Montserrat"/>
                            <w:color w:val="F2F2F8"/>
                            <w:sz w:val="21"/>
                            <w:szCs w:val="21"/>
                          </w:rPr>
                          <w:t xml:space="preserve">[Serviço / escopo]</w:t>
                        </w:r>
                      </w:p>
                      <w:p>
                        <w:pPr>
                          <w:tabs>
                            <w:tab w:val="left" w:pos="1120"/>
                          </w:tabs>
                          <w:spacing w:before="0" w:after="0" w:line="360" w:lineRule="exact"/>
                        </w:pPr>
                        <w:r>
                          <w:rPr>
                            <w:rFonts w:ascii="Montserrat" w:hAnsi="Montserrat" w:eastAsia="Montserrat" w:cs="Montserrat"/>
                            <w:color w:val="F0D796"/>
                            <w:sz w:val="21"/>
                            <w:szCs w:val="21"/>
                          </w:rPr>
                          <w:t xml:space="preserve">DATA:</w:t>
                        </w:r>
                        <w:r>
                          <w:tab/>
                        </w:r>
                        <w:r>
                          <w:rPr>
                            <w:rFonts w:ascii="Montserrat" w:hAnsi="Montserrat" w:eastAsia="Montserrat" w:cs="Montserrat"/>
                            <w:color w:val="F2F2F8"/>
                            <w:sz w:val="21"/>
                            <w:szCs w:val="21"/>
                          </w:rPr>
                          <w:t xml:space="preserve">[dd/mm/aaaa]</w:t>
                        </w:r>
                      </w:p>
                    </w:txbxContent>
                  </wps:txbx>
                  <wps:bodyPr rot="0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</w:p>
    <w:p>
      <w:pPr>
        <w:sectPr>
          <w:footerReference w:type="default" r:id="rId10"/>
          <w:pgSz w:w="12240" w:h="15840"/>
          <w:pgMar w:top="648" w:right="936" w:bottom="792" w:left="936" w:header="720" w:footer="720" w:gutter="0"/>
          <w:cols w:space="720"/>
          <w:docGrid w:linePitch="360"/>
        </w:sectPr>
      </w:pPr>
    </w:p>
    <w:p>
      <w:pPr>
        <w:spacing w:after="80"/>
      </w:pPr>
      <w:r>
        <w:rPr>
          <w:rFonts w:ascii="Montserrat" w:hAnsi="Montserrat" w:eastAsia="Montserrat" w:cs="Montserrat"/>
          <w:b/>
          <w:i w:val="0"/>
          <w:color w:val="1B2750"/>
          <w:sz w:val="20"/>
        </w:rPr>
        <w:t>À [Nome do cliente / empresa]</w:t>
      </w:r>
    </w:p>
    <w:p>
      <w:pPr>
        <w:spacing w:after="240"/>
      </w:pP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Natal, [dd] de [mês] de [aaaa]</w:t>
      </w: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1. EXPERIÊNCIA</w:t>
      </w:r>
    </w:p>
    <w:p>
      <w:pPr>
        <w:spacing w:line="293" w:lineRule="auto" w:after="12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A R1 Consultoria Administrativa, Jurídica e Terceirização de Mão de Obra Ltda. atua na prestação e gestão de serviços terceirizados, com experiência em contratos que envolvem limpeza e conservação, copeiragem, recepção de eventos, mensageria, apoio administrativo e funções especializadas. A empresa estrutura a operação desde o recrutamento e a admissão até o acompanhamento da jornada, a supervisão, a documentação trabalhista e a continuidade dos postos.</w:t>
      </w:r>
    </w:p>
    <w:p>
      <w:pPr>
        <w:spacing w:line="293" w:lineRule="auto" w:after="16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A experiência acumulada em contratos com órgãos como o Ministério Público do Estado do Rio Grande do Norte e o Tribunal Regional Eleitoral de Pernambuco demonstra capacidade para operar serviços com dedicação exclusiva de mão de obra, requisitos documentais, padrões de atendimento e acompanhamento da execução.</w:t>
      </w: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2. ABRANGÊNCIA</w:t>
      </w:r>
    </w:p>
    <w:p>
      <w:pPr>
        <w:spacing w:line="293" w:lineRule="auto" w:after="16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Com sede em Natal/RN, a R1 possui experiência de operação em diferentes municípios do Rio Grande do Norte e atuação contratual também em Pernambuco. A proximidade da gestão com a operação permite manter canais diretos de comunicação, acompanhar as equipes e responder às necessidades do contratante de forma organizada e contínua.</w:t>
      </w: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3. PACOTE DE SOLUÇÕES</w:t>
      </w: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A R1 oferece soluções de terceirização que podem ser dimensionadas de acordo com o perfil de cada cliente. O escopo é definido considerando quantidade de postos, jornada, local de execução, atividades, riscos, benefícios aplicáveis e necessidades específicas da operação.</w:t>
      </w:r>
    </w:p>
    <w:p>
      <w:pPr>
        <w:sectPr>
          <w:headerReference w:type="default" r:id="rId11"/>
          <w:footerReference w:type="default" r:id="rId12"/>
          <w:pgSz w:w="12240" w:h="15840"/>
          <w:pgMar w:top="1037" w:right="1037" w:bottom="792" w:left="1037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FFFFFF"/>
          <w:left w:val="single" w:sz="8" w:color="FFFFFF"/>
          <w:bottom w:val="single" w:sz="8" w:color="FFFFFF"/>
          <w:right w:val="single" w:sz="8" w:color="FFFFFF"/>
          <w:insideH w:val="single" w:sz="8" w:color="FFFFFF"/>
          <w:insideV w:val="single" w:sz="8" w:color="FFFFFF"/>
        </w:tblBorders>
      </w:tblPr>
      <w:tblGrid>
        <w:gridCol w:w="3240"/>
        <w:gridCol w:w="3240"/>
        <w:gridCol w:w="3240"/>
      </w:tblGrid>
      <w:tr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Auxiliar de Serviços Gerais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Recepcionista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Porteiro</w:t>
            </w:r>
          </w:p>
        </w:tc>
      </w:tr>
      <w:tr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Copeira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Auxiliar Administrativo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Mensageiro</w:t>
            </w:r>
          </w:p>
        </w:tc>
      </w:tr>
      <w:tr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Organizador de Eventos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Arquivista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Editor de Mídia Audiovisual</w:t>
            </w:r>
          </w:p>
        </w:tc>
      </w:tr>
      <w:tr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Supervisor Administrativo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Apoio Operacional</w:t>
            </w:r>
          </w:p>
        </w:tc>
        <w:tc>
          <w:tcPr>
            <w:tcW w:type="dxa" w:w="3389"/>
            <w:shd w:fill="ECEEF2" w:val="clea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Outros perfis sob dimensionamento</w:t>
            </w:r>
          </w:p>
        </w:tc>
      </w:tr>
    </w:tbl>
    <w:p>
      <w:pPr>
        <w:spacing w:after="20"/>
      </w:pP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4. DIFERENCIAIS DA R1</w:t>
      </w: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A contratação de mão de obra terceirizada exige mais do que a simples alocação de profissionais. Por isso, a R1 estrutura sua atuação para oferecer segurança documental, continuidade operacional e acompanhamento próximo do contrato.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Gestão por responsável designado, com acompanhamento da operação e comunicação direta com o contratante.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Organização das obrigações jurídicas, fiscais, sociais e trabalhistas relacionadas aos profissionais alocados.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Planejamento de substituições e cobertura de ausências conforme as condições definidas para cada operação.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Padronização de fardamento, identificação e EPIs quando aplicáveis.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Acompanhamento de jornada, ocorrências e qualidade da prestação dos serviços.</w:t>
      </w: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5. DESCRIÇÃO E PREÇO DOS SERVIÇOS</w:t>
      </w: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A composição comercial é elaborada a partir do dimensionamento da operação. Os valores consideram os custos diretamente relacionados aos postos contratados, incluindo salários, encargos e provisões trabalhistas, benefícios previstos na convenção coletiva aplicável, fardamento, EPIs quando exigidos, custos administrativos e tributos incidentes.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Jornadas extraordinárias, serviços adicionais ou condições não previstas no escopo poderão ser orçados separadamente, mediante alinhamento e autorização do contratante.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Exigências específicas do local, cursos, exames, adicionais ou benefícios especiais deverão ser considerados na composição final da proposta.</w:t>
      </w:r>
    </w:p>
    <w:p>
      <w:pPr>
        <w:spacing w:after="60"/>
        <w:ind w:left="317" w:hanging="173"/>
      </w:pPr>
      <w:r>
        <w:rPr>
          <w:rFonts w:ascii="Montserrat" w:hAnsi="Montserrat" w:eastAsia="Montserrat" w:cs="Montserrat"/>
          <w:b/>
          <w:i w:val="0"/>
          <w:color w:val="231284"/>
          <w:sz w:val="20"/>
        </w:rPr>
        <w:t xml:space="preserve">• </w:t>
      </w:r>
      <w:r>
        <w:rPr>
          <w:rFonts w:ascii="Montserrat" w:hAnsi="Montserrat" w:eastAsia="Montserrat" w:cs="Montserrat"/>
          <w:b w:val="0"/>
          <w:i w:val="0"/>
          <w:color w:val="363940"/>
          <w:sz w:val="19"/>
        </w:rPr>
        <w:t>Materiais de limpeza, consumíveis ou equipamentos de uso do cliente somente estarão incluídos quando expressamente previstos no escopo comercial.</w:t>
      </w:r>
    </w:p>
    <w:p>
      <w:pPr>
        <w:sectPr>
          <w:headerReference w:type="default" r:id="rId13"/>
          <w:footerReference w:type="default" r:id="rId14"/>
          <w:pgSz w:w="12240" w:h="15840"/>
          <w:pgMar w:top="1037" w:right="1037" w:bottom="792" w:left="1037" w:header="720" w:footer="720" w:gutter="0"/>
          <w:cols w:space="720"/>
          <w:docGrid w:linePitch="360"/>
        </w:sectPr>
      </w:pPr>
    </w:p>
    <w:p>
      <w:pPr>
        <w:spacing w:line="293" w:lineRule="auto" w:after="14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Segue abaixo o quadro demonstrativo para composição da proposta comercial: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D5D8DE"/>
          <w:left w:val="single" w:sz="7" w:color="D5D8DE"/>
          <w:bottom w:val="single" w:sz="7" w:color="D5D8DE"/>
          <w:right w:val="single" w:sz="7" w:color="D5D8DE"/>
          <w:insideH w:val="single" w:sz="7" w:color="D5D8DE"/>
          <w:insideV w:val="single" w:sz="7" w:color="D5D8DE"/>
        </w:tblBorders>
      </w:tblPr>
      <w:tblGrid>
        <w:gridCol w:w="1872"/>
        <w:gridCol w:w="1008"/>
        <w:gridCol w:w="3744"/>
        <w:gridCol w:w="1440"/>
        <w:gridCol w:w="1800"/>
      </w:tblGrid>
      <w:tr>
        <w:tc>
          <w:tcPr>
            <w:tcW w:type="dxa" w:w="2033"/>
            <w:shd w:fill="1B1B1C" w:val="clear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FFFFFF"/>
                <w:sz w:val="16"/>
              </w:rPr>
              <w:t>Local</w:t>
            </w:r>
          </w:p>
        </w:tc>
        <w:tc>
          <w:tcPr>
            <w:tcW w:type="dxa" w:w="2033"/>
            <w:shd w:fill="1B1B1C" w:val="clear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FFFFFF"/>
                <w:sz w:val="16"/>
              </w:rPr>
              <w:t>Efetivo</w:t>
            </w:r>
          </w:p>
        </w:tc>
        <w:tc>
          <w:tcPr>
            <w:tcW w:type="dxa" w:w="2033"/>
            <w:shd w:fill="1B1B1C" w:val="clear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FFFFFF"/>
                <w:sz w:val="16"/>
              </w:rPr>
              <w:t>Descrição</w:t>
            </w:r>
          </w:p>
        </w:tc>
        <w:tc>
          <w:tcPr>
            <w:tcW w:type="dxa" w:w="2033"/>
            <w:shd w:fill="1B1B1C" w:val="clear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FFFFFF"/>
                <w:sz w:val="16"/>
              </w:rPr>
              <w:t>Escala</w:t>
            </w:r>
          </w:p>
        </w:tc>
        <w:tc>
          <w:tcPr>
            <w:tcW w:type="dxa" w:w="2033"/>
            <w:shd w:fill="1B1B1C" w:val="clear"/>
            <w:tcMar>
              <w:top w:w="70" w:type="dxa"/>
              <w:start w:w="65" w:type="dxa"/>
              <w:bottom w:w="70" w:type="dxa"/>
              <w:end w:w="65" w:type="dxa"/>
            </w:tcMar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FFFFFF"/>
                <w:sz w:val="16"/>
              </w:rPr>
              <w:t>Valor mensal</w:t>
            </w:r>
          </w:p>
        </w:tc>
      </w:tr>
      <w:tr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DDE7F7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[Local]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[__]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[Serviço / função]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[Escala]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R$ [__]</w:t>
            </w:r>
          </w:p>
        </w:tc>
      </w:tr>
      <w:tr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DDE7F7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[Local]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[__]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[Serviço / função]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[Escala]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6F7F9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6"/>
              </w:rPr>
              <w:t>R$ [__]</w:t>
            </w:r>
          </w:p>
        </w:tc>
      </w:tr>
      <w:tr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CDE498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TOTAL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CDE498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[__]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CDE498" w:val="clear"/>
          </w:tcPr>
          <w:p>
            <w:pPr>
              <w:jc w:val="left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VALOR BRUTO MENSAL</w:t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FFFFFF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</w:r>
          </w:p>
        </w:tc>
        <w:tc>
          <w:tcPr>
            <w:tcW w:type="dxa" w:w="2033"/>
            <w:tcMar>
              <w:top w:w="75" w:type="dxa"/>
              <w:start w:w="75" w:type="dxa"/>
              <w:bottom w:w="75" w:type="dxa"/>
              <w:end w:w="75" w:type="dxa"/>
            </w:tcMar>
            <w:shd w:fill="CDE498" w:val="clear"/>
          </w:tcPr>
          <w:p>
            <w:pPr>
              <w:jc w:val="center"/>
            </w:pPr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6"/>
              </w:rPr>
              <w:t>R$ [__]</w:t>
            </w:r>
          </w:p>
        </w:tc>
      </w:tr>
    </w:tbl>
    <w:p>
      <w:pPr>
        <w:spacing w:after="20"/>
      </w:pP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Nos valores apresentados deverão estar contemplados os custos e responsabilidades definidos no escopo aprovado, conforme a quantidade de postos, jornada, função e condições da operação.</w:t>
      </w:r>
    </w:p>
    <w:p>
      <w:pPr>
        <w:spacing w:before="80" w:after="100"/>
      </w:pPr>
      <w:r>
        <w:rPr>
          <w:rFonts w:ascii="Montserrat" w:hAnsi="Montserrat" w:eastAsia="Montserrat" w:cs="Montserrat"/>
          <w:b/>
          <w:i w:val="0"/>
          <w:color w:val="1B2750"/>
          <w:sz w:val="21"/>
        </w:rPr>
        <w:t>POR CONTA DA R1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FFFFFF"/>
          <w:left w:val="single" w:sz="6" w:color="FFFFFF"/>
          <w:bottom w:val="single" w:sz="6" w:color="FFFFFF"/>
          <w:right w:val="single" w:sz="6" w:color="FFFFFF"/>
          <w:insideH w:val="single" w:sz="6" w:color="FFFFFF"/>
          <w:insideV w:val="single" w:sz="6" w:color="FFFFFF"/>
        </w:tblBorders>
      </w:tblPr>
      <w:tblGrid>
        <w:gridCol w:w="9648"/>
      </w:tblGrid>
      <w:tr>
        <w:tc>
          <w:tcPr>
            <w:tcW w:type="dxa" w:w="10166"/>
            <w:shd w:fill="EEF0F3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Montserrat" w:hAnsi="Montserrat" w:eastAsia="Montserrat" w:cs="Montserrat"/>
                <w:b w:val="0"/>
                <w:i w:val="0"/>
                <w:color w:val="1B2750"/>
                <w:sz w:val="17"/>
              </w:rPr>
              <w:t>• Uniforme e identificação</w:t>
            </w:r>
          </w:p>
        </w:tc>
      </w:tr>
      <w:tr>
        <w:tc>
          <w:tcPr>
            <w:tcW w:type="dxa" w:w="10166"/>
            <w:shd w:fill="EEF0F3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Montserrat" w:hAnsi="Montserrat" w:eastAsia="Montserrat" w:cs="Montserrat"/>
                <w:b w:val="0"/>
                <w:i w:val="0"/>
                <w:color w:val="1B2750"/>
                <w:sz w:val="17"/>
              </w:rPr>
              <w:t>• Vale-transporte, quando aplicável</w:t>
            </w:r>
          </w:p>
        </w:tc>
      </w:tr>
      <w:tr>
        <w:tc>
          <w:tcPr>
            <w:tcW w:type="dxa" w:w="10166"/>
            <w:shd w:fill="EEF0F3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Montserrat" w:hAnsi="Montserrat" w:eastAsia="Montserrat" w:cs="Montserrat"/>
                <w:b w:val="0"/>
                <w:i w:val="0"/>
                <w:color w:val="1B2750"/>
                <w:sz w:val="17"/>
              </w:rPr>
              <w:t>• Benefícios previstos na convenção coletiva</w:t>
            </w:r>
          </w:p>
        </w:tc>
      </w:tr>
      <w:tr>
        <w:tc>
          <w:tcPr>
            <w:tcW w:type="dxa" w:w="10166"/>
            <w:shd w:fill="EEF0F3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Montserrat" w:hAnsi="Montserrat" w:eastAsia="Montserrat" w:cs="Montserrat"/>
                <w:b w:val="0"/>
                <w:i w:val="0"/>
                <w:color w:val="1B2750"/>
                <w:sz w:val="17"/>
              </w:rPr>
              <w:t>• Equipamentos de proteção individual (EPIs), quando exigidos</w:t>
            </w:r>
          </w:p>
        </w:tc>
      </w:tr>
      <w:tr>
        <w:tc>
          <w:tcPr>
            <w:tcW w:type="dxa" w:w="10166"/>
            <w:shd w:fill="EEF0F3" w:val="clea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Montserrat" w:hAnsi="Montserrat" w:eastAsia="Montserrat" w:cs="Montserrat"/>
                <w:b w:val="0"/>
                <w:i w:val="0"/>
                <w:color w:val="1B2750"/>
                <w:sz w:val="17"/>
              </w:rPr>
              <w:t>• Gestão, acompanhamento e documentação da operação</w:t>
            </w:r>
          </w:p>
        </w:tc>
      </w:tr>
    </w:tbl>
    <w:p>
      <w:pPr>
        <w:spacing w:after="20"/>
      </w:pP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6. PAGAMENTO</w:t>
      </w: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O faturamento será realizado mensalmente, mediante emissão de Nota Fiscal e conforme as condições comerciais definidas com o contratante. O prazo de pagamento será estabelecido na proposta final e contado a partir da apresentação da documentação necessária para faturamento.</w:t>
      </w:r>
    </w:p>
    <w:p>
      <w:pPr>
        <w:spacing w:line="293" w:lineRule="auto" w:after="1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Eventuais condições específicas de medição, retenções, documentos comprobatórios ou rotinas de fechamento mensal serão registradas no instrumento comercial e contratual.</w:t>
      </w:r>
    </w:p>
    <w:p>
      <w:pPr>
        <w:sectPr>
          <w:headerReference w:type="default" r:id="rId15"/>
          <w:footerReference w:type="default" r:id="rId16"/>
          <w:pgSz w:w="12240" w:h="15840"/>
          <w:pgMar w:top="1037" w:right="1037" w:bottom="792" w:left="1037" w:header="720" w:footer="720" w:gutter="0"/>
          <w:cols w:space="720"/>
          <w:docGrid w:linePitch="360"/>
        </w:sectPr>
      </w:pP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7. REAJUSTES DE PREÇOS</w:t>
      </w:r>
    </w:p>
    <w:p>
      <w:pPr>
        <w:spacing w:line="293" w:lineRule="auto" w:after="14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Os valores poderão ser revistos quando houver alteração dos custos de mão de obra ou dos benefícios vinculados à categoria profissional, especialmente em razão de convenção coletiva, acordo coletivo, dissídio, legislação ou outro instrumento que produza impacto direto sobre a composição do serviço.</w:t>
      </w:r>
    </w:p>
    <w:p>
      <w:pPr>
        <w:spacing w:line="293" w:lineRule="auto" w:after="16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Também poderão ser considerados, conforme aplicável, alterações tributárias, criação de novas obrigações legais ou mudanças relevantes nos custos necessários à execução do contrato, sempre com o objetivo de preservar o equilíbrio econômico-financeiro da prestação.</w:t>
      </w:r>
    </w:p>
    <w:p>
      <w:pPr>
        <w:spacing w:before="140" w:after="100"/>
      </w:pPr>
      <w:r>
        <w:rPr>
          <w:rFonts w:ascii="Montserrat" w:hAnsi="Montserrat" w:eastAsia="Montserrat" w:cs="Montserrat"/>
          <w:b/>
          <w:i w:val="0"/>
          <w:color w:val="1B2750"/>
          <w:sz w:val="25"/>
        </w:rPr>
        <w:t>8. VALIDADE DA PROPOSTA</w:t>
      </w:r>
    </w:p>
    <w:p>
      <w:pPr>
        <w:spacing w:line="293" w:lineRule="auto" w:after="200"/>
        <w:jc w:val="both"/>
      </w:pPr>
      <w:r>
        <w:rPr>
          <w:rFonts w:ascii="Montserrat" w:hAnsi="Montserrat" w:eastAsia="Montserrat" w:cs="Montserrat"/>
          <w:b w:val="0"/>
          <w:i w:val="0"/>
          <w:color w:val="363940"/>
          <w:sz w:val="20"/>
        </w:rPr>
        <w:t>Esta proposta terá validade de 30 (trinta) dias a partir da data de emissão, salvo indicação diferente no quadro comercial. Após esse período, os valores e as condições poderão ser atualizados conforme custos vigentes, convenções coletivas e demais premissas aplicáveis ao serviço.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4608"/>
      </w:tblGrid>
      <w:tr>
        <w:tc>
          <w:tcPr>
            <w:tcW w:type="dxa" w:w="10166"/>
            <w:shd w:fill="F1F2F5" w:val="clea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olor w:val="231284"/>
                <w:sz w:val="20"/>
              </w:rPr>
              <w:t>R1 TERCEIRIZAÇÃO</w:t>
            </w:r>
          </w:p>
          <w:p>
            <w:r>
              <w:rPr>
                <w:rFonts w:ascii="Montserrat" w:hAnsi="Montserrat" w:eastAsia="Montserrat" w:cs="Montserrat"/>
                <w:b/>
                <w:i w:val="0"/>
                <w:color w:val="1B2750"/>
                <w:sz w:val="16"/>
              </w:rPr>
              <w:t>Contato comercial</w:t>
            </w:r>
          </w:p>
          <w:p>
            <w:r>
              <w:rPr>
                <w:rFonts w:ascii="Montserrat" w:hAnsi="Montserrat" w:eastAsia="Montserrat" w:cs="Montserrat"/>
                <w:b/>
                <w:i w:val="0"/>
                <w:color w:val="363940"/>
                <w:sz w:val="18"/>
              </w:rPr>
              <w:t>+55 84 9993-4959</w:t>
            </w:r>
          </w:p>
          <w:p>
            <w:r>
              <w:rPr>
                <w:rFonts w:ascii="Montserrat" w:hAnsi="Montserrat" w:eastAsia="Montserrat" w:cs="Montserrat"/>
                <w:b w:val="0"/>
                <w:i w:val="0"/>
                <w:color w:val="363940"/>
                <w:sz w:val="17"/>
              </w:rPr>
              <w:t>r1consultoriater@gmail.com</w:t>
            </w:r>
          </w:p>
          <w:p>
            <w:r>
              <w:rPr>
                <w:rFonts w:ascii="Montserrat" w:hAnsi="Montserrat" w:eastAsia="Montserrat" w:cs="Montserrat"/>
                <w:b w:val="0"/>
                <w:i w:val="0"/>
                <w:color w:val="767980"/>
                <w:sz w:val="16"/>
              </w:rPr>
              <w:t>Rua Dr. Lauro Pinto, 100 - Lagoa Nova - Natal/RN</w:t>
            </w:r>
          </w:p>
        </w:tc>
      </w:tr>
    </w:tbl>
    <w:sectPr w:rsidR="00FC693F" w:rsidRPr="0006063C" w:rsidSect="00034616">
      <w:headerReference w:type="default" r:id="rId17"/>
      <w:footerReference w:type="default" r:id="rId18"/>
      <w:pgSz w:w="12240" w:h="15840"/>
      <w:pgMar w:top="1037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E0E2E6"/>
        <w:left w:val="single" w:sz="4" w:color="E0E2E6"/>
        <w:bottom w:val="single" w:sz="4" w:color="E0E2E6"/>
        <w:right w:val="single" w:sz="4" w:color="E0E2E6"/>
        <w:insideH w:val="single" w:sz="4" w:color="E0E2E6"/>
        <w:insideV w:val="single" w:sz="4" w:color="E0E2E6"/>
      </w:tblBorders>
    </w:tblPr>
    <w:tblGrid>
      <w:gridCol w:w="2088"/>
      <w:gridCol w:w="6624"/>
      <w:gridCol w:w="1656"/>
    </w:tblGrid>
    <w:tr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left"/>
          </w:pPr>
          <w:r>
            <w:rPr>
              <w:rFonts w:ascii="Montserrat" w:hAnsi="Montserrat" w:eastAsia="Montserrat" w:cs="Montserrat"/>
              <w:b/>
              <w:i w:val="0"/>
              <w:color w:val="231284"/>
              <w:sz w:val="14"/>
            </w:rPr>
            <w:t>+55 84 9993-4959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>Rua Dr. Lauro Pinto, 100 - Lagoa Nova - Natal/RN - CEP 59064-250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 xml:space="preserve">Pág. </w:t>
          </w:r>
          <w:r>
            <w:rPr>
              <w:rFonts w:ascii="Montserrat" w:hAnsi="Montserrat" w:eastAsia="Montserrat" w:cs="Montserrat"/>
              <w:b w:val="0"/>
              <w:color w:val="767980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E0E2E6"/>
        <w:left w:val="single" w:sz="4" w:color="E0E2E6"/>
        <w:bottom w:val="single" w:sz="4" w:color="E0E2E6"/>
        <w:right w:val="single" w:sz="4" w:color="E0E2E6"/>
        <w:insideH w:val="single" w:sz="4" w:color="E0E2E6"/>
        <w:insideV w:val="single" w:sz="4" w:color="E0E2E6"/>
      </w:tblBorders>
    </w:tblPr>
    <w:tblGrid>
      <w:gridCol w:w="2088"/>
      <w:gridCol w:w="6624"/>
      <w:gridCol w:w="1656"/>
    </w:tblGrid>
    <w:tr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left"/>
          </w:pPr>
          <w:r>
            <w:rPr>
              <w:rFonts w:ascii="Montserrat" w:hAnsi="Montserrat" w:eastAsia="Montserrat" w:cs="Montserrat"/>
              <w:b/>
              <w:i w:val="0"/>
              <w:color w:val="231284"/>
              <w:sz w:val="14"/>
            </w:rPr>
            <w:t>+55 84 9993-4959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>Rua Dr. Lauro Pinto, 100 - Lagoa Nova - Natal/RN - CEP 59064-250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 xml:space="preserve">Pág. </w:t>
          </w:r>
          <w:r>
            <w:rPr>
              <w:rFonts w:ascii="Montserrat" w:hAnsi="Montserrat" w:eastAsia="Montserrat" w:cs="Montserrat"/>
              <w:b w:val="0"/>
              <w:color w:val="767980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E0E2E6"/>
        <w:left w:val="single" w:sz="4" w:color="E0E2E6"/>
        <w:bottom w:val="single" w:sz="4" w:color="E0E2E6"/>
        <w:right w:val="single" w:sz="4" w:color="E0E2E6"/>
        <w:insideH w:val="single" w:sz="4" w:color="E0E2E6"/>
        <w:insideV w:val="single" w:sz="4" w:color="E0E2E6"/>
      </w:tblBorders>
    </w:tblPr>
    <w:tblGrid>
      <w:gridCol w:w="2088"/>
      <w:gridCol w:w="6624"/>
      <w:gridCol w:w="1656"/>
    </w:tblGrid>
    <w:tr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left"/>
          </w:pPr>
          <w:r>
            <w:rPr>
              <w:rFonts w:ascii="Montserrat" w:hAnsi="Montserrat" w:eastAsia="Montserrat" w:cs="Montserrat"/>
              <w:b/>
              <w:i w:val="0"/>
              <w:color w:val="231284"/>
              <w:sz w:val="14"/>
            </w:rPr>
            <w:t>+55 84 9993-4959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>Rua Dr. Lauro Pinto, 100 - Lagoa Nova - Natal/RN - CEP 59064-250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 xml:space="preserve">Pág. </w:t>
          </w:r>
          <w:r>
            <w:rPr>
              <w:rFonts w:ascii="Montserrat" w:hAnsi="Montserrat" w:eastAsia="Montserrat" w:cs="Montserrat"/>
              <w:b w:val="0"/>
              <w:color w:val="767980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E0E2E6"/>
        <w:left w:val="single" w:sz="4" w:color="E0E2E6"/>
        <w:bottom w:val="single" w:sz="4" w:color="E0E2E6"/>
        <w:right w:val="single" w:sz="4" w:color="E0E2E6"/>
        <w:insideH w:val="single" w:sz="4" w:color="E0E2E6"/>
        <w:insideV w:val="single" w:sz="4" w:color="E0E2E6"/>
      </w:tblBorders>
    </w:tblPr>
    <w:tblGrid>
      <w:gridCol w:w="2088"/>
      <w:gridCol w:w="6624"/>
      <w:gridCol w:w="1656"/>
    </w:tblGrid>
    <w:tr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left"/>
          </w:pPr>
          <w:r>
            <w:rPr>
              <w:rFonts w:ascii="Montserrat" w:hAnsi="Montserrat" w:eastAsia="Montserrat" w:cs="Montserrat"/>
              <w:b/>
              <w:i w:val="0"/>
              <w:color w:val="231284"/>
              <w:sz w:val="14"/>
            </w:rPr>
            <w:t>+55 84 9993-4959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>Rua Dr. Lauro Pinto, 100 - Lagoa Nova - Natal/RN - CEP 59064-250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 xml:space="preserve">Pág. </w:t>
          </w:r>
          <w:r>
            <w:rPr>
              <w:rFonts w:ascii="Montserrat" w:hAnsi="Montserrat" w:eastAsia="Montserrat" w:cs="Montserrat"/>
              <w:b w:val="0"/>
              <w:color w:val="767980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4" w:color="E0E2E6"/>
        <w:left w:val="single" w:sz="4" w:color="E0E2E6"/>
        <w:bottom w:val="single" w:sz="4" w:color="E0E2E6"/>
        <w:right w:val="single" w:sz="4" w:color="E0E2E6"/>
        <w:insideH w:val="single" w:sz="4" w:color="E0E2E6"/>
        <w:insideV w:val="single" w:sz="4" w:color="E0E2E6"/>
      </w:tblBorders>
    </w:tblPr>
    <w:tblGrid>
      <w:gridCol w:w="2088"/>
      <w:gridCol w:w="6624"/>
      <w:gridCol w:w="1656"/>
    </w:tblGrid>
    <w:tr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left"/>
          </w:pPr>
          <w:r>
            <w:rPr>
              <w:rFonts w:ascii="Montserrat" w:hAnsi="Montserrat" w:eastAsia="Montserrat" w:cs="Montserrat"/>
              <w:b/>
              <w:i w:val="0"/>
              <w:color w:val="231284"/>
              <w:sz w:val="14"/>
            </w:rPr>
            <w:t>+55 84 9993-4959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>Rua Dr. Lauro Pinto, 100 - Lagoa Nova - Natal/RN - CEP 59064-250</w:t>
          </w:r>
        </w:p>
      </w:tc>
      <w:tc>
        <w:tcPr>
          <w:tcW w:type="dxa" w:w="3456"/>
          <w:tcMar>
            <w:top w:w="35" w:type="dxa"/>
            <w:start w:w="25" w:type="dxa"/>
            <w:bottom w:w="25" w:type="dxa"/>
            <w:end w:w="25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Montserrat" w:hAnsi="Montserrat" w:eastAsia="Montserrat" w:cs="Montserrat"/>
              <w:b w:val="0"/>
              <w:i w:val="0"/>
              <w:color w:val="767980"/>
              <w:sz w:val="14"/>
            </w:rPr>
            <w:t xml:space="preserve">Pág. </w:t>
          </w:r>
          <w:r>
            <w:rPr>
              <w:rFonts w:ascii="Montserrat" w:hAnsi="Montserrat" w:eastAsia="Montserrat" w:cs="Montserrat"/>
              <w:b w:val="0"/>
              <w:color w:val="767980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92240" cy="7790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1_header_stri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77906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92240" cy="7790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1_header_stri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77906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92240" cy="7790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1_header_stri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77906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92240" cy="7790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1_header_stri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7790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Montserrat" w:hAnsi="Montserrat" w:hint="default" w:eastAsia="Montserrat" w:cs="Montserra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Montserrat" w:hAnsi="Montserrat" w:hint="default" w:eastAsia="Montserrat" w:cs="Montserra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Montserrat" w:hAnsi="Montserrat" w:hint="default" w:eastAsia="Montserrat" w:cs="Montserra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Montserrat" w:hAnsi="Montserrat" w:hint="default" w:eastAsia="Montserrat" w:cs="Montserra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ontserra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 w:eastAsia="Montserrat" w:cs="Montserra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ontserrat" w:hAnsi="Montserrat" w:eastAsia="Montserrat" w:cs="Montserrat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Montserrat" w:hAnsi="Montserrat" w:eastAsia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ontserrat" w:hAnsi="Montserrat" w:eastAsia="Montserrat" w:cs="Montserrat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Montserrat" w:hAnsi="Montserrat" w:eastAsia="Montserrat" w:cs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Montserrat" w:hAnsi="Montserrat" w:eastAsia="Montserrat" w:cs="Montserrat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Montserrat" w:hAnsi="Montserrat" w:eastAsia="Montserrat" w:cs="Montserrat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ontserrat" w:hAnsi="Montserrat" w:eastAsia="Montserrat" w:cs="Montserrat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ontserrat" w:hAnsi="Montserrat" w:eastAsia="Montserrat" w:cs="Montserrat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ontserrat" w:hAnsi="Montserrat" w:eastAsia="Montserrat" w:cs="Montserrat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ontserrat" w:hAnsi="Montserrat" w:eastAsia="Montserrat" w:cs="Montserrat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ontserrat" w:hAnsi="Montserrat" w:eastAsia="Montserrat" w:cs="Montserrat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ontserrat" w:hAnsi="Montserrat" w:eastAsia="Montserrat" w:cs="Montserrat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ontserrat" w:hAnsi="Montserrat" w:eastAsia="Montserrat" w:cs="Montserrat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Montserrat" w:hAnsi="Montserrat" w:eastAsia="Montserrat" w:cs="Montserrat"/>
    </w:rPr>
  </w:style>
  <w:style w:type="table" w:default="1" w:styleId="TableNormal">
    <w:name w:val="Normal Table"/>
    <w:uiPriority w:val="99"/>
    <w:semiHidden/>
    <w:unhideWhenUsed/>
    <w:rPr>
      <w:rFonts w:ascii="Montserrat" w:hAnsi="Montserrat" w:eastAsia="Montserrat" w:cs="Montserra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Montserrat" w:hAnsi="Montserrat" w:eastAsia="Montserrat" w:cs="Montserrat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ontserrat" w:hAnsi="Montserrat" w:eastAsia="Montserrat" w:cs="Montserra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ontserrat" w:hAnsi="Montserrat" w:eastAsia="Montserrat" w:cs="Montserra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ontserrat" w:hAnsi="Montserrat" w:eastAsia="Montserrat" w:cs="Montserrat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Montserrat" w:hAnsi="Montserrat" w:eastAsia="Montserrat" w:cs="Montserrat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ontserrat" w:hAnsi="Montserrat" w:eastAsia="Montserrat" w:cs="Montserrat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ontserrat" w:hAnsi="Montserrat" w:eastAsia="Montserrat" w:cs="Montserrat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ontserrat" w:hAnsi="Montserrat" w:eastAsia="Montserrat" w:cs="Montserrat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Montserrat" w:hAnsi="Montserrat" w:eastAsia="Montserrat" w:cs="Montserrat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Montserrat" w:hAnsi="Montserrat" w:eastAsia="Montserrat" w:cs="Montserrat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Montserrat" w:hAnsi="Montserrat" w:eastAsia="Montserrat" w:cs="Montserrat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Montserrat" w:hAnsi="Montserrat" w:eastAsia="Montserrat" w:cs="Montserrat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Montserrat" w:hAnsi="Montserrat" w:eastAsia="Montserrat" w:cs="Montserrat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Montserrat" w:hAnsi="Montserrat" w:eastAsia="Montserrat" w:cs="Montserrat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Montserrat" w:hAnsi="Montserrat" w:eastAsia="Montserrat" w:cs="Montserrat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Montserrat" w:hAnsi="Montserrat" w:eastAsia="Montserrat" w:cs="Montserrat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Montserrat" w:hAnsi="Montserrat" w:eastAsia="Montserrat" w:cs="Montserrat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Montserrat" w:hAnsi="Montserrat" w:eastAsia="Montserrat" w:cs="Montserrat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ontserrat" w:hAnsi="Montserrat" w:eastAsia="Montserrat" w:cs="Montserrat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Montserrat" w:hAnsi="Montserrat" w:eastAsia="Montserrat" w:cs="Montserrat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Montserrat" w:hAnsi="Montserrat" w:eastAsia="Montserrat" w:cs="Montserrat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ontserrat" w:hAnsi="Montserrat" w:eastAsia="Montserrat" w:cs="Montserrat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Montserrat" w:hAnsi="Montserrat" w:eastAsia="Montserrat" w:cs="Montserrat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Montserrat" w:hAnsi="Montserrat" w:eastAsia="Montserrat" w:cs="Montserrat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Montserrat" w:hAnsi="Montserrat" w:eastAsia="Montserrat" w:cs="Montserrat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Montserrat" w:hAnsi="Montserrat" w:eastAsia="Montserrat" w:cs="Montserrat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Montserrat" w:hAnsi="Montserrat" w:eastAsia="Montserrat" w:cs="Montserrat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ontserrat" w:hAnsi="Montserrat" w:eastAsia="Montserrat" w:cs="Montserrat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Montserrat" w:hAnsi="Montserrat" w:eastAsia="Montserrat" w:cs="Montserrat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Montserrat" w:hAnsi="Montserrat" w:eastAsia="Montserrat" w:cs="Montserrat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Montserrat" w:hAnsi="Montserrat" w:eastAsia="Montserrat" w:cs="Montserrat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ontserrat" w:hAnsi="Montserrat" w:eastAsia="Montserrat" w:cs="Montserrat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ontserrat" w:hAnsi="Montserrat" w:eastAsia="Montserrat" w:cs="Montserrat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ontserrat" w:hAnsi="Montserrat" w:eastAsia="Montserrat" w:cs="Montserrat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ontserrat" w:hAnsi="Montserrat" w:eastAsia="Montserrat" w:cs="Montserrat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ontserrat" w:hAnsi="Montserrat" w:eastAsia="Montserrat" w:cs="Montserrat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ontserrat" w:hAnsi="Montserrat" w:eastAsia="Montserrat" w:cs="Montserrat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ontserrat" w:hAnsi="Montserrat" w:eastAsia="Montserrat" w:cs="Montserrat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Montserrat" w:hAnsi="Montserrat" w:eastAsia="Montserrat" w:cs="Montserrat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Montserrat" w:hAnsi="Montserrat" w:eastAsia="Montserrat" w:cs="Montserrat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Montserrat" w:hAnsi="Montserrat" w:eastAsia="Montserrat" w:cs="Montserrat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Montserrat" w:hAnsi="Montserrat" w:eastAsia="Montserrat" w:cs="Montserrat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Montserrat" w:hAnsi="Montserrat" w:eastAsia="Montserrat" w:cs="Montserrat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Montserrat" w:hAnsi="Montserrat" w:eastAsia="Montserrat" w:cs="Montserrat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Montserrat" w:hAnsi="Montserrat" w:eastAsia="Montserrat" w:cs="Montserrat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Montserrat" w:hAnsi="Montserrat" w:eastAsia="Montserrat" w:cs="Montserrat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Montserrat" w:hAnsi="Montserrat" w:eastAsia="Montserrat" w:cs="Montserrat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ontserrat" w:hAnsi="Montserrat" w:eastAsia="Montserrat" w:cs="Montserrat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Montserrat" w:hAnsi="Montserrat" w:eastAsia="Montserrat" w:cs="Montserr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Montserrat" w:hAnsi="Montserrat" w:eastAsia="Montserrat" w:cs="Montserrat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Montserrat" w:hAnsi="Montserrat" w:eastAsia="Montserrat" w:cs="Montserra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Montserrat" w:hAnsi="Montserrat" w:eastAsia="Montserrat" w:cs="Montserrat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hAnsi="Montserrat" w:eastAsia="Montserrat" w:cs="Montserra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Montserrat" w:hAnsi="Montserrat" w:eastAsia="Montserrat" w:cs="Montserrat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Montserrat" w:hAnsi="Montserrat" w:eastAsia="Montserrat" w:cs="Montserrat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ontserrat" w:hAnsi="Montserrat" w:eastAsia="Montserrat" w:cs="Montserrat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ontserrat" w:hAnsi="Montserrat" w:eastAsia="Montserrat" w:cs="Montserrat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ontserrat" w:hAnsi="Montserrat" w:eastAsia="Montserrat" w:cs="Montserrat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ontserrat" w:hAnsi="Montserrat" w:eastAsia="Montserrat" w:cs="Montserrat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ontserrat" w:hAnsi="Montserrat" w:eastAsia="Montserrat" w:cs="Montserrat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ontserrat" w:hAnsi="Montserrat" w:eastAsia="Montserrat" w:cs="Montserrat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ontserrat" w:hAnsi="Montserrat" w:eastAsia="Montserrat" w:cs="Montserrat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ontserrat" w:hAnsi="Montserrat" w:eastAsia="Montserrat" w:cs="Montserra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ontserrat" w:hAnsi="Montserrat" w:eastAsia="Montserrat" w:cs="Montserra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ontserrat" w:hAnsi="Montserrat" w:eastAsia="Montserrat" w:cs="Montserrat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Montserrat" w:hAnsi="Montserrat" w:eastAsia="Montserrat" w:cs="Montserrat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ontserrat" w:hAnsi="Montserrat" w:eastAsia="Montserrat" w:cs="Montserrat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ontserrat" w:hAnsi="Montserrat" w:eastAsia="Montserrat" w:cs="Montserrat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ontserrat" w:hAnsi="Montserrat" w:eastAsia="Montserrat" w:cs="Montserrat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ontserrat" w:hAnsi="Montserrat" w:eastAsia="Montserrat" w:cs="Montserrat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Montserrat" w:hAnsi="Montserrat" w:eastAsia="Montserrat" w:cs="Montserrat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ontserrat" w:hAnsi="Montserrat" w:eastAsia="Montserrat" w:cs="Montserrat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ontserrat" w:hAnsi="Montserrat" w:eastAsia="Montserrat" w:cs="Montserrat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ontserrat" w:hAnsi="Montserrat" w:eastAsia="Montserrat" w:cs="Montserrat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ontserrat" w:hAnsi="Montserrat" w:eastAsia="Montserrat" w:cs="Montserrat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ontserrat" w:hAnsi="Montserrat" w:eastAsia="Montserrat" w:cs="Montserrat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ontserrat" w:hAnsi="Montserrat" w:eastAsia="Montserrat" w:cs="Montserrat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ontserrat" w:hAnsi="Montserrat" w:eastAsia="Montserrat" w:cs="Montserra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ontserrat" w:hAnsi="Montserrat" w:eastAsia="Montserrat" w:cs="Montserrat"/>
        <w:b/>
        <w:bCs/>
      </w:rPr>
    </w:tblStylePr>
    <w:tblStylePr w:type="lastCol">
      <w:rPr>
        <w:rFonts w:ascii="Montserrat" w:hAnsi="Montserrat" w:eastAsia="Montserrat" w:cs="Montserra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ontserrat" w:hAnsi="Montserrat" w:eastAsia="Montserrat" w:cs="Montserrat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ontserrat" w:hAnsi="Montserrat" w:eastAsia="Montserrat" w:cs="Montserra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header" Target="header3.xml"/><Relationship Id="rId16" Type="http://schemas.openxmlformats.org/officeDocument/2006/relationships/footer" Target="footer4.xml"/><Relationship Id="rId17" Type="http://schemas.openxmlformats.org/officeDocument/2006/relationships/header" Target="header4.xml"/><Relationship Id="rId18" Type="http://schemas.openxmlformats.org/officeDocument/2006/relationships/footer" Target="footer5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